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3781" w14:textId="77777777" w:rsidR="000A7F65" w:rsidRPr="003A23F4" w:rsidRDefault="000A7F65" w:rsidP="000A7F65">
      <w:pPr>
        <w:pStyle w:val="Title"/>
        <w:jc w:val="left"/>
        <w:rPr>
          <w:rStyle w:val="IntenseEmphasis"/>
        </w:rPr>
      </w:pPr>
      <w:r w:rsidRPr="003A23F4">
        <w:rPr>
          <w:rStyle w:val="IntenseEmphasis"/>
        </w:rPr>
        <w:t xml:space="preserve">Malleus Maleficarum </w:t>
      </w:r>
      <w:r w:rsidR="003E5B54">
        <w:rPr>
          <w:rStyle w:val="IntenseEmphasis"/>
        </w:rPr>
        <w:t>Bibliography</w:t>
      </w:r>
    </w:p>
    <w:p w14:paraId="2C8EC79A" w14:textId="77777777" w:rsidR="003E5B54" w:rsidRPr="003E5B54" w:rsidRDefault="003E5B54" w:rsidP="003E5B54">
      <w:pPr>
        <w:rPr>
          <w:rFonts w:ascii="Times" w:hAnsi="Times" w:cs="Arial"/>
          <w:sz w:val="24"/>
          <w:szCs w:val="24"/>
        </w:rPr>
      </w:pPr>
    </w:p>
    <w:p w14:paraId="112C0A57" w14:textId="77777777" w:rsidR="0085209B" w:rsidRDefault="0085209B" w:rsidP="003E5B54">
      <w:pPr>
        <w:rPr>
          <w:rFonts w:ascii="Times" w:hAnsi="Times" w:cs="Arial"/>
          <w:sz w:val="24"/>
          <w:szCs w:val="24"/>
        </w:rPr>
      </w:pPr>
    </w:p>
    <w:p w14:paraId="7C8C1CC2" w14:textId="77777777" w:rsidR="003E5B54" w:rsidRPr="003E5B54" w:rsidRDefault="003E5B54" w:rsidP="003E5B54">
      <w:pPr>
        <w:rPr>
          <w:rFonts w:ascii="Times" w:hAnsi="Times" w:cs="Arial"/>
          <w:b/>
          <w:sz w:val="24"/>
          <w:szCs w:val="24"/>
        </w:rPr>
      </w:pPr>
      <w:proofErr w:type="gramStart"/>
      <w:r w:rsidRPr="003E5B54">
        <w:rPr>
          <w:rFonts w:ascii="Times" w:hAnsi="Times" w:cs="Arial"/>
          <w:sz w:val="24"/>
          <w:szCs w:val="24"/>
        </w:rPr>
        <w:t>OCR History B Different Interpretations p.103-08.</w:t>
      </w:r>
      <w:proofErr w:type="gramEnd"/>
    </w:p>
    <w:p w14:paraId="52BC5F47" w14:textId="77777777" w:rsidR="0085209B" w:rsidRDefault="0085209B" w:rsidP="0085209B">
      <w:pPr>
        <w:rPr>
          <w:rFonts w:ascii="Times" w:hAnsi="Times"/>
          <w:sz w:val="24"/>
          <w:szCs w:val="24"/>
        </w:rPr>
      </w:pPr>
    </w:p>
    <w:p w14:paraId="222135BA" w14:textId="65E929EC" w:rsidR="0085209B" w:rsidRDefault="0085209B" w:rsidP="0085209B">
      <w:pPr>
        <w:rPr>
          <w:rFonts w:ascii="Times" w:hAnsi="Times"/>
          <w:sz w:val="24"/>
          <w:szCs w:val="24"/>
        </w:rPr>
      </w:pPr>
      <w:r w:rsidRPr="0085209B">
        <w:rPr>
          <w:rFonts w:ascii="Times" w:hAnsi="Times"/>
          <w:sz w:val="24"/>
          <w:szCs w:val="24"/>
        </w:rPr>
        <w:t>Barstow,</w:t>
      </w:r>
      <w:r>
        <w:rPr>
          <w:rFonts w:ascii="Times" w:hAnsi="Times"/>
          <w:sz w:val="24"/>
          <w:szCs w:val="24"/>
        </w:rPr>
        <w:t xml:space="preserve"> A. </w:t>
      </w:r>
      <w:proofErr w:type="spellStart"/>
      <w:r w:rsidRPr="0085209B">
        <w:rPr>
          <w:rFonts w:ascii="Times" w:hAnsi="Times"/>
          <w:i/>
          <w:sz w:val="24"/>
          <w:szCs w:val="24"/>
        </w:rPr>
        <w:t>Witchcraze</w:t>
      </w:r>
      <w:proofErr w:type="spellEnd"/>
      <w:r w:rsidRPr="0085209B">
        <w:rPr>
          <w:rFonts w:ascii="Times" w:hAnsi="Times"/>
          <w:i/>
          <w:sz w:val="24"/>
          <w:szCs w:val="24"/>
        </w:rPr>
        <w:t>: A New Histo</w:t>
      </w:r>
      <w:r w:rsidRPr="0085209B">
        <w:rPr>
          <w:rFonts w:ascii="Times" w:hAnsi="Times"/>
          <w:i/>
          <w:sz w:val="24"/>
          <w:szCs w:val="24"/>
        </w:rPr>
        <w:t>ry of the European Witch Hunts,</w:t>
      </w:r>
      <w:r>
        <w:rPr>
          <w:rFonts w:ascii="Times" w:hAnsi="Times"/>
          <w:sz w:val="24"/>
          <w:szCs w:val="24"/>
        </w:rPr>
        <w:t xml:space="preserve"> </w:t>
      </w:r>
      <w:r w:rsidRPr="0085209B">
        <w:rPr>
          <w:rFonts w:ascii="Times" w:hAnsi="Times"/>
          <w:sz w:val="24"/>
          <w:szCs w:val="24"/>
        </w:rPr>
        <w:t>pg. 143</w:t>
      </w:r>
    </w:p>
    <w:p w14:paraId="10E1609B" w14:textId="77777777" w:rsidR="0085209B" w:rsidRPr="0085209B" w:rsidRDefault="0085209B" w:rsidP="0085209B">
      <w:pPr>
        <w:rPr>
          <w:rFonts w:ascii="Times" w:hAnsi="Times"/>
          <w:sz w:val="24"/>
          <w:szCs w:val="24"/>
        </w:rPr>
      </w:pPr>
    </w:p>
    <w:p w14:paraId="3143CD69" w14:textId="77777777" w:rsidR="0085209B" w:rsidRPr="0085209B" w:rsidRDefault="0085209B" w:rsidP="0085209B">
      <w:pPr>
        <w:rPr>
          <w:rFonts w:ascii="Times" w:hAnsi="Times"/>
          <w:sz w:val="24"/>
          <w:szCs w:val="24"/>
        </w:rPr>
      </w:pPr>
      <w:r w:rsidRPr="0085209B">
        <w:rPr>
          <w:rFonts w:ascii="Times" w:hAnsi="Times"/>
          <w:sz w:val="24"/>
          <w:szCs w:val="24"/>
        </w:rPr>
        <w:t xml:space="preserve">Briggs, </w:t>
      </w:r>
      <w:r w:rsidRPr="0085209B">
        <w:rPr>
          <w:rFonts w:ascii="Times" w:hAnsi="Times"/>
          <w:i/>
          <w:sz w:val="24"/>
          <w:szCs w:val="24"/>
        </w:rPr>
        <w:t>Witches and Neighbours: The Social and Cultural Context of European Witchcraft</w:t>
      </w:r>
      <w:r w:rsidRPr="0085209B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>1996, p. 255</w:t>
      </w:r>
      <w:r w:rsidRPr="0085209B">
        <w:rPr>
          <w:rFonts w:ascii="Times" w:hAnsi="Times"/>
          <w:sz w:val="24"/>
          <w:szCs w:val="24"/>
        </w:rPr>
        <w:t>-261</w:t>
      </w:r>
    </w:p>
    <w:p w14:paraId="3CFA2291" w14:textId="77777777" w:rsidR="0085209B" w:rsidRDefault="0085209B" w:rsidP="0085209B">
      <w:pPr>
        <w:rPr>
          <w:rFonts w:ascii="Times" w:hAnsi="Times"/>
          <w:sz w:val="24"/>
          <w:szCs w:val="24"/>
        </w:rPr>
      </w:pPr>
      <w:bookmarkStart w:id="0" w:name="_GoBack"/>
      <w:bookmarkEnd w:id="0"/>
    </w:p>
    <w:p w14:paraId="4BDFB883" w14:textId="2DF2E565" w:rsidR="0085209B" w:rsidRDefault="0085209B" w:rsidP="0085209B">
      <w:pPr>
        <w:rPr>
          <w:rFonts w:ascii="Times" w:hAnsi="Times"/>
          <w:sz w:val="24"/>
          <w:szCs w:val="24"/>
        </w:rPr>
      </w:pPr>
      <w:proofErr w:type="spellStart"/>
      <w:r w:rsidRPr="0085209B">
        <w:rPr>
          <w:rFonts w:ascii="Times" w:hAnsi="Times"/>
          <w:sz w:val="24"/>
          <w:szCs w:val="24"/>
        </w:rPr>
        <w:t>Gaskill</w:t>
      </w:r>
      <w:proofErr w:type="spellEnd"/>
      <w:r w:rsidRPr="0085209B">
        <w:rPr>
          <w:rFonts w:ascii="Times" w:hAnsi="Times"/>
          <w:sz w:val="24"/>
          <w:szCs w:val="24"/>
        </w:rPr>
        <w:t xml:space="preserve">, 2010, </w:t>
      </w:r>
      <w:r w:rsidRPr="0085209B">
        <w:rPr>
          <w:rFonts w:ascii="Times" w:hAnsi="Times"/>
          <w:i/>
          <w:sz w:val="24"/>
          <w:szCs w:val="24"/>
        </w:rPr>
        <w:t>Witchcraft: a very short introduction,</w:t>
      </w:r>
      <w:r w:rsidRPr="0085209B">
        <w:rPr>
          <w:rFonts w:ascii="Times" w:hAnsi="Times"/>
          <w:sz w:val="24"/>
          <w:szCs w:val="24"/>
        </w:rPr>
        <w:t xml:space="preserve"> Oxford University Press, Page 276</w:t>
      </w:r>
    </w:p>
    <w:p w14:paraId="03FB9A8D" w14:textId="77777777" w:rsidR="0085209B" w:rsidRDefault="0085209B" w:rsidP="0085209B">
      <w:pPr>
        <w:rPr>
          <w:rFonts w:ascii="Times" w:hAnsi="Times"/>
          <w:sz w:val="24"/>
          <w:szCs w:val="24"/>
        </w:rPr>
      </w:pPr>
    </w:p>
    <w:p w14:paraId="0300A877" w14:textId="7B6003BD" w:rsidR="0085209B" w:rsidRDefault="0085209B" w:rsidP="0085209B">
      <w:pPr>
        <w:rPr>
          <w:rFonts w:ascii="Times" w:hAnsi="Times"/>
          <w:sz w:val="24"/>
          <w:szCs w:val="24"/>
        </w:rPr>
      </w:pPr>
      <w:proofErr w:type="spellStart"/>
      <w:r w:rsidRPr="0085209B">
        <w:rPr>
          <w:rFonts w:ascii="Times" w:hAnsi="Times"/>
          <w:sz w:val="24"/>
          <w:szCs w:val="24"/>
        </w:rPr>
        <w:t>Larner</w:t>
      </w:r>
      <w:proofErr w:type="spellEnd"/>
      <w:r w:rsidRPr="0085209B">
        <w:rPr>
          <w:rFonts w:ascii="Times" w:hAnsi="Times"/>
          <w:sz w:val="24"/>
          <w:szCs w:val="24"/>
        </w:rPr>
        <w:t xml:space="preserve">, C (2002) </w:t>
      </w:r>
      <w:r w:rsidRPr="0085209B">
        <w:rPr>
          <w:rFonts w:ascii="Times" w:hAnsi="Times"/>
          <w:i/>
          <w:sz w:val="24"/>
          <w:szCs w:val="24"/>
        </w:rPr>
        <w:t>‘Was witch-hunting woman hunting?’</w:t>
      </w:r>
      <w:r w:rsidRPr="0085209B">
        <w:rPr>
          <w:rFonts w:ascii="Times" w:hAnsi="Times"/>
          <w:sz w:val="24"/>
          <w:szCs w:val="24"/>
        </w:rPr>
        <w:t xml:space="preserve"> in </w:t>
      </w:r>
      <w:proofErr w:type="spellStart"/>
      <w:r w:rsidRPr="0085209B">
        <w:rPr>
          <w:rFonts w:ascii="Times" w:hAnsi="Times"/>
          <w:sz w:val="24"/>
          <w:szCs w:val="24"/>
        </w:rPr>
        <w:t>Oldridge</w:t>
      </w:r>
      <w:proofErr w:type="spellEnd"/>
      <w:r w:rsidRPr="0085209B">
        <w:rPr>
          <w:rFonts w:ascii="Times" w:hAnsi="Times"/>
          <w:sz w:val="24"/>
          <w:szCs w:val="24"/>
        </w:rPr>
        <w:t xml:space="preserve">, D (ed.) The Witchcraft Reader, </w:t>
      </w:r>
      <w:proofErr w:type="spellStart"/>
      <w:r w:rsidRPr="0085209B">
        <w:rPr>
          <w:rFonts w:ascii="Times" w:hAnsi="Times"/>
          <w:sz w:val="24"/>
          <w:szCs w:val="24"/>
        </w:rPr>
        <w:t>Routledge</w:t>
      </w:r>
      <w:proofErr w:type="spellEnd"/>
      <w:r>
        <w:rPr>
          <w:rFonts w:ascii="Times" w:hAnsi="Times"/>
          <w:sz w:val="24"/>
          <w:szCs w:val="24"/>
        </w:rPr>
        <w:t>, p. 254-274</w:t>
      </w:r>
    </w:p>
    <w:p w14:paraId="172862E2" w14:textId="77777777" w:rsidR="0085209B" w:rsidRDefault="0085209B" w:rsidP="0085209B">
      <w:pPr>
        <w:rPr>
          <w:rFonts w:ascii="Times" w:hAnsi="Times"/>
          <w:sz w:val="24"/>
          <w:szCs w:val="24"/>
        </w:rPr>
      </w:pPr>
    </w:p>
    <w:p w14:paraId="013B2319" w14:textId="77777777" w:rsidR="0085209B" w:rsidRPr="0085209B" w:rsidRDefault="0085209B" w:rsidP="0085209B">
      <w:pPr>
        <w:rPr>
          <w:rFonts w:ascii="Times" w:hAnsi="Times"/>
          <w:sz w:val="24"/>
          <w:szCs w:val="24"/>
        </w:rPr>
      </w:pPr>
      <w:proofErr w:type="spellStart"/>
      <w:r w:rsidRPr="0085209B">
        <w:rPr>
          <w:rFonts w:ascii="Times" w:hAnsi="Times"/>
          <w:sz w:val="24"/>
          <w:szCs w:val="24"/>
        </w:rPr>
        <w:t>Levack</w:t>
      </w:r>
      <w:proofErr w:type="spellEnd"/>
      <w:r w:rsidRPr="0085209B"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B.</w:t>
      </w:r>
      <w:r w:rsidRPr="0085209B">
        <w:rPr>
          <w:rFonts w:ascii="Times" w:hAnsi="Times"/>
          <w:i/>
          <w:sz w:val="24"/>
          <w:szCs w:val="24"/>
        </w:rPr>
        <w:t>The</w:t>
      </w:r>
      <w:proofErr w:type="spellEnd"/>
      <w:r w:rsidRPr="0085209B">
        <w:rPr>
          <w:rFonts w:ascii="Times" w:hAnsi="Times"/>
          <w:i/>
          <w:sz w:val="24"/>
          <w:szCs w:val="24"/>
        </w:rPr>
        <w:t xml:space="preserve"> witch hunt in Early Modern Europe</w:t>
      </w:r>
      <w:r w:rsidRPr="0085209B">
        <w:rPr>
          <w:rFonts w:ascii="Times" w:hAnsi="Times"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2006,</w:t>
      </w:r>
      <w:r w:rsidRPr="0085209B">
        <w:rPr>
          <w:rFonts w:ascii="Times" w:hAnsi="Times"/>
          <w:sz w:val="24"/>
          <w:szCs w:val="24"/>
        </w:rPr>
        <w:t xml:space="preserve"> page 141</w:t>
      </w:r>
      <w:r>
        <w:rPr>
          <w:rFonts w:ascii="Times" w:hAnsi="Times"/>
          <w:sz w:val="24"/>
          <w:szCs w:val="24"/>
        </w:rPr>
        <w:t>- 162</w:t>
      </w:r>
    </w:p>
    <w:p w14:paraId="036628E2" w14:textId="77777777" w:rsidR="0085209B" w:rsidRPr="0085209B" w:rsidRDefault="0085209B" w:rsidP="0085209B">
      <w:pPr>
        <w:rPr>
          <w:rFonts w:ascii="Times" w:hAnsi="Times"/>
          <w:sz w:val="24"/>
          <w:szCs w:val="24"/>
        </w:rPr>
      </w:pPr>
    </w:p>
    <w:p w14:paraId="06ECB201" w14:textId="049BBDDA" w:rsidR="0085209B" w:rsidRDefault="0085209B" w:rsidP="0085209B">
      <w:pPr>
        <w:rPr>
          <w:rFonts w:ascii="Times" w:hAnsi="Times"/>
          <w:sz w:val="24"/>
          <w:szCs w:val="24"/>
        </w:rPr>
      </w:pPr>
      <w:r w:rsidRPr="0085209B">
        <w:rPr>
          <w:rFonts w:ascii="Times" w:hAnsi="Times"/>
          <w:sz w:val="24"/>
          <w:szCs w:val="24"/>
        </w:rPr>
        <w:t xml:space="preserve">Case study: The European Witch-Hunts 1470-1750, p5/ </w:t>
      </w:r>
      <w:hyperlink r:id="rId6" w:history="1">
        <w:r w:rsidRPr="00A91ED1">
          <w:rPr>
            <w:rStyle w:val="Hyperlink"/>
            <w:rFonts w:ascii="Times" w:hAnsi="Times"/>
            <w:sz w:val="24"/>
            <w:szCs w:val="24"/>
          </w:rPr>
          <w:t>http://triggeralert.blogspot.co.uk/2011/07/live-from-witch-trials.html</w:t>
        </w:r>
      </w:hyperlink>
    </w:p>
    <w:p w14:paraId="6C7AE6A6" w14:textId="77777777" w:rsidR="0085209B" w:rsidRDefault="0085209B" w:rsidP="003E5B54">
      <w:pPr>
        <w:rPr>
          <w:rFonts w:ascii="Times" w:hAnsi="Times"/>
          <w:sz w:val="24"/>
          <w:szCs w:val="24"/>
        </w:rPr>
      </w:pPr>
    </w:p>
    <w:p w14:paraId="04803B87" w14:textId="77777777" w:rsidR="003E5B54" w:rsidRDefault="003E5B54"/>
    <w:sectPr w:rsidR="003E5B54" w:rsidSect="003A04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E95"/>
    <w:multiLevelType w:val="hybridMultilevel"/>
    <w:tmpl w:val="5C36FC92"/>
    <w:lvl w:ilvl="0" w:tplc="A29CB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65"/>
    <w:rsid w:val="000A7F65"/>
    <w:rsid w:val="001D1D9A"/>
    <w:rsid w:val="00264F4E"/>
    <w:rsid w:val="003A0478"/>
    <w:rsid w:val="003E5B54"/>
    <w:rsid w:val="0085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747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65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7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7F65"/>
  </w:style>
  <w:style w:type="character" w:styleId="IntenseEmphasis">
    <w:name w:val="Intense Emphasis"/>
    <w:uiPriority w:val="21"/>
    <w:qFormat/>
    <w:rsid w:val="000A7F65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0A7F65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A7F65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E5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65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7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7F65"/>
  </w:style>
  <w:style w:type="character" w:styleId="IntenseEmphasis">
    <w:name w:val="Intense Emphasis"/>
    <w:uiPriority w:val="21"/>
    <w:qFormat/>
    <w:rsid w:val="000A7F65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0A7F65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A7F65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E5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riggeralert.blogspot.co.uk/2011/07/live-from-witch-trial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Bones</dc:creator>
  <cp:keywords/>
  <dc:description/>
  <cp:lastModifiedBy>Adam Bones</cp:lastModifiedBy>
  <cp:revision>3</cp:revision>
  <dcterms:created xsi:type="dcterms:W3CDTF">2014-08-05T16:35:00Z</dcterms:created>
  <dcterms:modified xsi:type="dcterms:W3CDTF">2014-08-05T16:43:00Z</dcterms:modified>
</cp:coreProperties>
</file>